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Landskrona kommunfullmäktige</w:t>
      </w:r>
    </w:p>
    <w:p>
      <w:pPr>
        <w:pStyle w:val="Heading1"/>
      </w:pPr>
      <w:r>
        <w:t xml:space="preserve">Tryggare stadsmiljö genom bättre belysning och 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Landskrona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i Landskrona ligger 25 % över rikssnittet enligt Brå 2023. Mörka områden kring stationen och Karlslund bidrar till otrygghet, särskilt för kvinnor och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Landskrona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LED-belysning på prioriterade gång- och cykelstråk.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kamerabevakning på utvalda platser med polisens godkännande.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nattvandringssamarbetet med föreningslivet.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trygghetsmätningar årligen via Brå.</w:t>
      </w:r>
    </w:p>
    <w:p>
      <w:pPr>
        <w:spacing w:before="360"/>
      </w:pPr>
    </w:p>
    <w:p>
      <w:r>
        <w:t xml:space="preserve">Landskrona,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Landskrona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2026-07-14T04:08:24.801Z</dcterms:created>
  <dcterms:modified xsi:type="dcterms:W3CDTF">2026-07-14T04:08:24.801Z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